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LINE DF, Massiv, 2-flg.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Montagefertiger,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r Massivwand,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Mod. SYNTESIS LINE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ndigen Anspachteln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>Profile sind im Durchgang werksseitig mit Spezialm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rtel bereits vorgeputzt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11.5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LINE DF oder gleichw</w:t>
      </w:r>
      <w:r>
        <w:rPr>
          <w:rFonts w:ascii="Avenir Next" w:hAnsi="Avenir Next"/>
          <w:color w:val="a6a6a6"/>
          <w:u w:color="a6a6a6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